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14" w:rsidRPr="00D75614" w:rsidRDefault="00D75614" w:rsidP="00D75614">
      <w:pPr>
        <w:pStyle w:val="NoSpacing"/>
        <w:rPr>
          <w:b/>
          <w:sz w:val="32"/>
          <w:szCs w:val="32"/>
        </w:rPr>
      </w:pPr>
      <w:r>
        <w:tab/>
      </w:r>
      <w:r>
        <w:tab/>
      </w:r>
      <w:r>
        <w:tab/>
      </w:r>
      <w:r>
        <w:tab/>
      </w:r>
      <w:r w:rsidRPr="00D75614">
        <w:rPr>
          <w:b/>
          <w:sz w:val="32"/>
          <w:szCs w:val="32"/>
        </w:rPr>
        <w:t xml:space="preserve">Safety Data Sheet </w:t>
      </w:r>
    </w:p>
    <w:p w:rsidR="00D75614" w:rsidRDefault="00D75614" w:rsidP="00D75614">
      <w:pPr>
        <w:pStyle w:val="NoSpacing"/>
      </w:pPr>
    </w:p>
    <w:p w:rsidR="00AE6C08" w:rsidRPr="00D75614" w:rsidRDefault="00AE6C08" w:rsidP="00D75614">
      <w:pPr>
        <w:pStyle w:val="NoSpacing"/>
        <w:rPr>
          <w:b/>
        </w:rPr>
      </w:pPr>
      <w:r w:rsidRPr="00D75614">
        <w:rPr>
          <w:b/>
        </w:rPr>
        <w:t>Section 1:  Identification</w:t>
      </w:r>
    </w:p>
    <w:p w:rsidR="00AE6C08" w:rsidRDefault="00AE6C08" w:rsidP="00D75614">
      <w:pPr>
        <w:pStyle w:val="NoSpacing"/>
      </w:pPr>
      <w:r w:rsidRPr="004378A2">
        <w:t>Product identifier</w:t>
      </w:r>
      <w:r w:rsidR="00B67745">
        <w:tab/>
      </w:r>
      <w:r w:rsidR="00D356EA">
        <w:t>Bore</w:t>
      </w:r>
      <w:r w:rsidR="00134946">
        <w:t xml:space="preserve"> </w:t>
      </w:r>
      <w:r>
        <w:t>Oil</w:t>
      </w:r>
    </w:p>
    <w:p w:rsidR="00AE6C08" w:rsidRDefault="00AE6C08" w:rsidP="00D75614">
      <w:pPr>
        <w:pStyle w:val="NoSpacing"/>
      </w:pPr>
      <w:r w:rsidRPr="004378A2">
        <w:t xml:space="preserve">Product Name </w:t>
      </w:r>
      <w:r w:rsidRPr="004378A2">
        <w:tab/>
      </w:r>
      <w:r w:rsidR="00B67745">
        <w:tab/>
      </w:r>
      <w:r>
        <w:t xml:space="preserve">Roche-Thomas Premium </w:t>
      </w:r>
      <w:r w:rsidR="00255465">
        <w:t>Bore Oil</w:t>
      </w:r>
    </w:p>
    <w:p w:rsidR="00AE6C08" w:rsidRDefault="00AE6C08" w:rsidP="00D75614">
      <w:pPr>
        <w:pStyle w:val="NoSpacing"/>
      </w:pPr>
      <w:r w:rsidRPr="004378A2">
        <w:t>Product Code</w:t>
      </w:r>
      <w:r w:rsidR="00B67745">
        <w:tab/>
      </w:r>
      <w:r w:rsidR="00B67745">
        <w:tab/>
      </w:r>
      <w:r>
        <w:t>RT</w:t>
      </w:r>
      <w:r w:rsidR="00134946">
        <w:t>6</w:t>
      </w:r>
      <w:r w:rsidR="00D356EA">
        <w:t>1</w:t>
      </w:r>
    </w:p>
    <w:p w:rsidR="00AE6C08" w:rsidRPr="004378A2" w:rsidRDefault="00AE6C08" w:rsidP="00D75614">
      <w:pPr>
        <w:pStyle w:val="NoSpacing"/>
      </w:pPr>
      <w:bookmarkStart w:id="0" w:name="_GoBack"/>
      <w:bookmarkEnd w:id="0"/>
      <w:r w:rsidRPr="004378A2">
        <w:t>Details of the supplier of the safety data sheet:</w:t>
      </w:r>
    </w:p>
    <w:p w:rsidR="00AE6C08" w:rsidRDefault="00AE6C08" w:rsidP="00D75614">
      <w:pPr>
        <w:pStyle w:val="NoSpacing"/>
      </w:pPr>
      <w:r w:rsidRPr="004378A2">
        <w:t>Manufacturer</w:t>
      </w:r>
      <w:r w:rsidR="00B67745">
        <w:tab/>
      </w:r>
      <w:r w:rsidR="00B67745">
        <w:tab/>
      </w:r>
      <w:r>
        <w:t>Roche-Thomas Corp.</w:t>
      </w:r>
    </w:p>
    <w:p w:rsidR="00AE6C08" w:rsidRPr="004378A2" w:rsidRDefault="00AE6C08" w:rsidP="00D75614">
      <w:pPr>
        <w:pStyle w:val="NoSpacing"/>
      </w:pPr>
      <w:r>
        <w:t xml:space="preserve">                                         </w:t>
      </w:r>
      <w:r w:rsidR="00B67745">
        <w:t xml:space="preserve"> </w:t>
      </w:r>
      <w:r>
        <w:t xml:space="preserve"> </w:t>
      </w:r>
      <w:r w:rsidRPr="004378A2">
        <w:t>3162 Cedar Crest Ridge</w:t>
      </w:r>
    </w:p>
    <w:p w:rsidR="00AE6C08" w:rsidRDefault="00AE6C08" w:rsidP="00D75614">
      <w:pPr>
        <w:pStyle w:val="NoSpacing"/>
      </w:pPr>
      <w:r>
        <w:t xml:space="preserve">                                         </w:t>
      </w:r>
      <w:r w:rsidR="00B67745">
        <w:t xml:space="preserve"> </w:t>
      </w:r>
      <w:r>
        <w:t xml:space="preserve"> Dubuque, IA  52003</w:t>
      </w:r>
    </w:p>
    <w:p w:rsidR="00AE6C08" w:rsidRDefault="00AE6C08" w:rsidP="00D75614">
      <w:pPr>
        <w:pStyle w:val="NoSpacing"/>
        <w:rPr>
          <w:color w:val="FF0000"/>
        </w:rPr>
      </w:pPr>
      <w:r w:rsidRPr="008E6E65">
        <w:t>Emergency Phone Number</w:t>
      </w:r>
      <w:r>
        <w:t xml:space="preserve"> – </w:t>
      </w:r>
      <w:r w:rsidRPr="00CA0E67">
        <w:t>563-690-1800</w:t>
      </w:r>
    </w:p>
    <w:p w:rsidR="00AE6C08" w:rsidRPr="008E6E65" w:rsidRDefault="00AE6C08" w:rsidP="00D75614">
      <w:pPr>
        <w:pStyle w:val="NoSpacing"/>
        <w:rPr>
          <w:color w:val="FF0000"/>
        </w:rPr>
      </w:pPr>
    </w:p>
    <w:p w:rsidR="00AE6C08" w:rsidRPr="00D75614" w:rsidRDefault="00AE6C08" w:rsidP="00D75614">
      <w:pPr>
        <w:pStyle w:val="NoSpacing"/>
        <w:rPr>
          <w:b/>
        </w:rPr>
      </w:pPr>
      <w:r w:rsidRPr="00D75614">
        <w:rPr>
          <w:b/>
        </w:rPr>
        <w:t>Section 2:  Hazard Identification</w:t>
      </w:r>
    </w:p>
    <w:p w:rsidR="00AE6C08" w:rsidRDefault="00AE6C08" w:rsidP="00D75614">
      <w:pPr>
        <w:pStyle w:val="NoSpacing"/>
      </w:pPr>
      <w:r w:rsidRPr="004957B6">
        <w:t>Classification of the substance or mixture</w:t>
      </w:r>
      <w:r>
        <w:t xml:space="preserve"> – Not intended for human internal consumption</w:t>
      </w:r>
      <w:r w:rsidR="004869D4">
        <w:t xml:space="preserve"> </w:t>
      </w:r>
      <w:r>
        <w:t xml:space="preserve">due to its low viscosity.  Suitable for veterinary use, manufacturing, processing, or repacking.  Not expected to present a hazard under anticipated conditions of use.  However, if </w:t>
      </w:r>
      <w:r w:rsidR="004869D4">
        <w:t>ingestion occurs, do not induce vomiting since aspiration into the lungs may cause lipoid pneumonia.</w:t>
      </w:r>
    </w:p>
    <w:p w:rsidR="00AE6C08" w:rsidRDefault="00AE6C08" w:rsidP="00D75614">
      <w:pPr>
        <w:pStyle w:val="NoSpacing"/>
      </w:pPr>
    </w:p>
    <w:p w:rsidR="00AE6C08" w:rsidRPr="00D75614" w:rsidRDefault="00AE6C08" w:rsidP="00D75614">
      <w:pPr>
        <w:pStyle w:val="NoSpacing"/>
        <w:rPr>
          <w:b/>
        </w:rPr>
      </w:pPr>
      <w:r w:rsidRPr="00D75614">
        <w:rPr>
          <w:b/>
        </w:rPr>
        <w:t xml:space="preserve">Section 3:  Composition/Information on Ingredients </w:t>
      </w:r>
    </w:p>
    <w:p w:rsidR="00AE6C08" w:rsidRDefault="00AE6C08" w:rsidP="00D75614">
      <w:pPr>
        <w:pStyle w:val="NoSpacing"/>
      </w:pPr>
      <w:r w:rsidRPr="007B12EB">
        <w:t>Substances</w:t>
      </w:r>
      <w:r>
        <w:t xml:space="preserve">- </w:t>
      </w:r>
      <w:r w:rsidR="004869D4">
        <w:t>White Oil 70</w:t>
      </w:r>
    </w:p>
    <w:p w:rsidR="00D75614" w:rsidRDefault="00D75614" w:rsidP="00D75614">
      <w:pPr>
        <w:pStyle w:val="NoSpacing"/>
      </w:pPr>
    </w:p>
    <w:p w:rsidR="00AE6C08" w:rsidRPr="00D75614" w:rsidRDefault="00AE6C08" w:rsidP="00D75614">
      <w:pPr>
        <w:pStyle w:val="NoSpacing"/>
        <w:rPr>
          <w:b/>
        </w:rPr>
      </w:pPr>
      <w:r w:rsidRPr="00D75614">
        <w:rPr>
          <w:b/>
        </w:rPr>
        <w:t>Section 4:  First-Aid Measures</w:t>
      </w:r>
    </w:p>
    <w:p w:rsidR="004869D4" w:rsidRDefault="00AE6C08" w:rsidP="00D75614">
      <w:pPr>
        <w:pStyle w:val="NoSpacing"/>
      </w:pPr>
      <w:r w:rsidRPr="007B12EB">
        <w:t>Inhalation</w:t>
      </w:r>
      <w:r>
        <w:t xml:space="preserve">- </w:t>
      </w:r>
      <w:r w:rsidR="004869D4">
        <w:t>No significant adverse health effects are expected to occur upon short-term exposure.</w:t>
      </w:r>
    </w:p>
    <w:p w:rsidR="00AE6C08" w:rsidRDefault="00AE6C08" w:rsidP="00D75614">
      <w:pPr>
        <w:pStyle w:val="NoSpacing"/>
      </w:pPr>
      <w:r w:rsidRPr="007B12EB">
        <w:t>Skin Contact</w:t>
      </w:r>
      <w:r>
        <w:t xml:space="preserve">- </w:t>
      </w:r>
      <w:r w:rsidR="00E46C94">
        <w:t>No significant adverse health effects are expected to occur upon short-term exposure.</w:t>
      </w:r>
    </w:p>
    <w:p w:rsidR="00AE6C08" w:rsidRDefault="00AE6C08" w:rsidP="00D75614">
      <w:pPr>
        <w:pStyle w:val="NoSpacing"/>
      </w:pPr>
      <w:r w:rsidRPr="007B12EB">
        <w:t>Eye Contact</w:t>
      </w:r>
      <w:r>
        <w:t xml:space="preserve">- </w:t>
      </w:r>
      <w:r w:rsidR="00E46C94">
        <w:t>No irritation expected from short-term exposure</w:t>
      </w:r>
    </w:p>
    <w:p w:rsidR="00AE6C08" w:rsidRDefault="00AE6C08" w:rsidP="00D75614">
      <w:pPr>
        <w:pStyle w:val="NoSpacing"/>
        <w:rPr>
          <w:szCs w:val="20"/>
        </w:rPr>
      </w:pPr>
      <w:r w:rsidRPr="007B12EB">
        <w:t>Ingestion</w:t>
      </w:r>
      <w:r w:rsidR="00E46C94">
        <w:t xml:space="preserve">- </w:t>
      </w:r>
      <w:r w:rsidR="00E46C94" w:rsidRPr="00E46C94">
        <w:rPr>
          <w:szCs w:val="20"/>
        </w:rPr>
        <w:t>Ingestion will produce a cathartic (laxative) effect and may be irritating to the digestive tract. Aspiration into lungs will cause lipoid pneumonia.</w:t>
      </w:r>
    </w:p>
    <w:p w:rsidR="00E46C94" w:rsidRPr="00E46C94" w:rsidRDefault="00E46C94" w:rsidP="00D75614">
      <w:pPr>
        <w:pStyle w:val="NoSpacing"/>
      </w:pPr>
    </w:p>
    <w:p w:rsidR="00AE6C08" w:rsidRPr="00D75614" w:rsidRDefault="00AE6C08" w:rsidP="00D75614">
      <w:pPr>
        <w:pStyle w:val="NoSpacing"/>
        <w:rPr>
          <w:b/>
        </w:rPr>
      </w:pPr>
      <w:r w:rsidRPr="00D75614">
        <w:rPr>
          <w:b/>
        </w:rPr>
        <w:t>Section 5:  Fire-Fighting Measures</w:t>
      </w:r>
    </w:p>
    <w:p w:rsidR="00F23438" w:rsidRDefault="00F23438" w:rsidP="00D75614">
      <w:pPr>
        <w:pStyle w:val="NoSpacing"/>
      </w:pPr>
      <w:r w:rsidRPr="00715F27">
        <w:t>Flash Point and Method</w:t>
      </w:r>
      <w:r>
        <w:t xml:space="preserve"> – approximately 310 F (D-92)</w:t>
      </w:r>
    </w:p>
    <w:p w:rsidR="00F23438" w:rsidRDefault="005175AC" w:rsidP="00D75614">
      <w:pPr>
        <w:pStyle w:val="NoSpacing"/>
        <w:rPr>
          <w:szCs w:val="20"/>
        </w:rPr>
      </w:pPr>
      <w:r w:rsidRPr="00715F27">
        <w:rPr>
          <w:szCs w:val="20"/>
        </w:rPr>
        <w:t>F</w:t>
      </w:r>
      <w:r w:rsidR="00715F27" w:rsidRPr="00715F27">
        <w:rPr>
          <w:szCs w:val="20"/>
        </w:rPr>
        <w:t>lammable Limits/% Volume in Air</w:t>
      </w:r>
      <w:r w:rsidR="00715F27">
        <w:rPr>
          <w:szCs w:val="20"/>
        </w:rPr>
        <w:t xml:space="preserve"> -</w:t>
      </w:r>
      <w:r w:rsidRPr="005175AC">
        <w:rPr>
          <w:szCs w:val="20"/>
        </w:rPr>
        <w:t xml:space="preserve"> lower n/</w:t>
      </w:r>
      <w:proofErr w:type="spellStart"/>
      <w:r w:rsidRPr="005175AC">
        <w:rPr>
          <w:szCs w:val="20"/>
        </w:rPr>
        <w:t>ap</w:t>
      </w:r>
      <w:proofErr w:type="spellEnd"/>
      <w:r w:rsidRPr="005175AC">
        <w:rPr>
          <w:szCs w:val="20"/>
        </w:rPr>
        <w:t>, upper n/</w:t>
      </w:r>
      <w:proofErr w:type="spellStart"/>
      <w:r w:rsidRPr="005175AC">
        <w:rPr>
          <w:szCs w:val="20"/>
        </w:rPr>
        <w:t>ap</w:t>
      </w:r>
      <w:proofErr w:type="spellEnd"/>
    </w:p>
    <w:p w:rsidR="00715F27" w:rsidRPr="00715F27" w:rsidRDefault="00715F27" w:rsidP="00D75614">
      <w:pPr>
        <w:pStyle w:val="NoSpacing"/>
        <w:rPr>
          <w:sz w:val="96"/>
        </w:rPr>
      </w:pPr>
      <w:r w:rsidRPr="00715F27">
        <w:rPr>
          <w:szCs w:val="20"/>
        </w:rPr>
        <w:t>Extinguishing Media - Dry chemical and carbon dioxide, foam and water fog are effective but may cause frothing</w:t>
      </w:r>
    </w:p>
    <w:p w:rsidR="00E46C94" w:rsidRDefault="00715F27" w:rsidP="00D75614">
      <w:pPr>
        <w:pStyle w:val="NoSpacing"/>
        <w:rPr>
          <w:szCs w:val="20"/>
        </w:rPr>
      </w:pPr>
      <w:r>
        <w:rPr>
          <w:szCs w:val="20"/>
        </w:rPr>
        <w:t xml:space="preserve">Special Firefighting Procedure and Precautions </w:t>
      </w:r>
      <w:r w:rsidR="00F23438">
        <w:rPr>
          <w:szCs w:val="20"/>
        </w:rPr>
        <w:t xml:space="preserve">- </w:t>
      </w:r>
      <w:r w:rsidR="00E46C94" w:rsidRPr="00E46C94">
        <w:rPr>
          <w:szCs w:val="20"/>
        </w:rPr>
        <w:t>For fires involving this material, do not enter any enclosed or confined fire space without proper protective equipment. This may include self-contained breathing apparatus to protect against the hazardous effects of combustion products and oxygen deficiencies. If firefighters cannot work upwind to the fire, respiratory protective equipment must be worn. Cool tanks and containers exposed to fire with water. Burning liquid will float on water. Notify appropriate authorities if liquid enters sewer/waterways.</w:t>
      </w:r>
    </w:p>
    <w:p w:rsidR="00D75614" w:rsidRPr="00D75614" w:rsidRDefault="00D75614" w:rsidP="00D75614">
      <w:pPr>
        <w:pStyle w:val="NoSpacing"/>
        <w:rPr>
          <w:szCs w:val="20"/>
        </w:rPr>
      </w:pPr>
    </w:p>
    <w:p w:rsidR="00D75614" w:rsidRDefault="00AE6C08" w:rsidP="00D75614">
      <w:pPr>
        <w:pStyle w:val="NoSpacing"/>
        <w:rPr>
          <w:b/>
        </w:rPr>
      </w:pPr>
      <w:r w:rsidRPr="00D75614">
        <w:rPr>
          <w:b/>
        </w:rPr>
        <w:t>Section 6:  Accidental Release Measures</w:t>
      </w:r>
    </w:p>
    <w:p w:rsidR="00715F27" w:rsidRPr="00D75614" w:rsidRDefault="00715F27" w:rsidP="00D75614">
      <w:pPr>
        <w:pStyle w:val="NoSpacing"/>
        <w:rPr>
          <w:b/>
        </w:rPr>
      </w:pPr>
      <w:r w:rsidRPr="00715F27">
        <w:rPr>
          <w:szCs w:val="20"/>
        </w:rPr>
        <w:t xml:space="preserve">Precautions if Material is </w:t>
      </w:r>
      <w:proofErr w:type="gramStart"/>
      <w:r w:rsidRPr="00715F27">
        <w:rPr>
          <w:szCs w:val="20"/>
        </w:rPr>
        <w:t>Spilled</w:t>
      </w:r>
      <w:proofErr w:type="gramEnd"/>
      <w:r w:rsidRPr="00715F27">
        <w:rPr>
          <w:szCs w:val="20"/>
        </w:rPr>
        <w:t xml:space="preserve"> or Released</w:t>
      </w:r>
      <w:r>
        <w:rPr>
          <w:szCs w:val="20"/>
        </w:rPr>
        <w:t xml:space="preserve"> -</w:t>
      </w:r>
      <w:r w:rsidRPr="00715F27">
        <w:rPr>
          <w:szCs w:val="20"/>
        </w:rPr>
        <w:t xml:space="preserve"> Contain spill and prevent from entering sewers and other water bodies, if possible. Safely stop flow of spill. Spill may create slipping hazards. Evacuate all non-essential personnel from the spill area. In urban areas, cleanup as soon as possible; in natural environments, cleanup on advice from ecologists. This material will float on water. Absorbent materials and pads can be used. Comply with all applicable laws. This material has low probability of toxic impacts. Only limited and localized damage would be expected. </w:t>
      </w:r>
    </w:p>
    <w:p w:rsidR="00AE6C08" w:rsidRDefault="00961C40" w:rsidP="00D75614">
      <w:pPr>
        <w:pStyle w:val="NoSpacing"/>
        <w:rPr>
          <w:szCs w:val="20"/>
        </w:rPr>
      </w:pPr>
      <w:r w:rsidRPr="00961C40">
        <w:rPr>
          <w:szCs w:val="20"/>
        </w:rPr>
        <w:lastRenderedPageBreak/>
        <w:t>Waste Disposal Methods</w:t>
      </w:r>
      <w:r>
        <w:rPr>
          <w:szCs w:val="20"/>
        </w:rPr>
        <w:t xml:space="preserve"> -</w:t>
      </w:r>
      <w:r w:rsidR="00715F27" w:rsidRPr="00715F27">
        <w:rPr>
          <w:szCs w:val="20"/>
        </w:rPr>
        <w:t xml:space="preserve"> Maximize product recovery for reuse or recycling. Conditions of use may cause this material to become a ‘hazardous waste’, as defined by state or federal laws. Use approved treatment, transporters and disposal sites in compliance with all applicable laws. If spill is introduced into a wastewater treatment system, chemical and biological oxygen demand will likely increase. Spill material is biodegradable if gradually exposed to microorganisms. Potential treatment and disposal methods include land farming, incineration, and land disposal, if permitted.</w:t>
      </w:r>
    </w:p>
    <w:p w:rsidR="00D75614" w:rsidRDefault="00D75614" w:rsidP="00D75614">
      <w:pPr>
        <w:pStyle w:val="NoSpacing"/>
        <w:rPr>
          <w:sz w:val="48"/>
        </w:rPr>
      </w:pPr>
    </w:p>
    <w:p w:rsidR="00AE6C08" w:rsidRPr="00D75614" w:rsidRDefault="00AE6C08" w:rsidP="00D75614">
      <w:pPr>
        <w:pStyle w:val="NoSpacing"/>
        <w:rPr>
          <w:b/>
        </w:rPr>
      </w:pPr>
      <w:r w:rsidRPr="00D75614">
        <w:rPr>
          <w:b/>
        </w:rPr>
        <w:t>Section 7:  Handling and Storage</w:t>
      </w:r>
    </w:p>
    <w:p w:rsidR="00AE6C08" w:rsidRDefault="00AE6C08" w:rsidP="00D75614">
      <w:pPr>
        <w:pStyle w:val="NoSpacing"/>
      </w:pPr>
      <w:r>
        <w:t>No special instructions for handling or storage.</w:t>
      </w:r>
    </w:p>
    <w:p w:rsidR="00AE6C08" w:rsidRDefault="00AE6C08" w:rsidP="00D75614">
      <w:pPr>
        <w:pStyle w:val="NoSpacing"/>
      </w:pPr>
    </w:p>
    <w:p w:rsidR="00AE6C08" w:rsidRPr="00D75614" w:rsidRDefault="00AE6C08" w:rsidP="00D75614">
      <w:pPr>
        <w:pStyle w:val="NoSpacing"/>
        <w:rPr>
          <w:b/>
        </w:rPr>
      </w:pPr>
      <w:r w:rsidRPr="00D75614">
        <w:rPr>
          <w:b/>
        </w:rPr>
        <w:t>Section 8: Exposure Controls/Personal Protection</w:t>
      </w:r>
    </w:p>
    <w:p w:rsidR="00AE6C08" w:rsidRPr="00961C40" w:rsidRDefault="00AE6C08" w:rsidP="00D75614">
      <w:pPr>
        <w:pStyle w:val="NoSpacing"/>
      </w:pPr>
      <w:r w:rsidRPr="00E12CBD">
        <w:t>Respiratory</w:t>
      </w:r>
      <w:r>
        <w:t xml:space="preserve"> – </w:t>
      </w:r>
      <w:r w:rsidR="00961C40" w:rsidRPr="00961C40">
        <w:rPr>
          <w:szCs w:val="20"/>
        </w:rPr>
        <w:t>None is needed under anticipated use conditions with adequate ventilation. If exposure exceeds the occupational exposure limits, follow OSHA standards or equivalent and wear proper NIOSH/MSHA-approved respiratory equipment.</w:t>
      </w:r>
    </w:p>
    <w:p w:rsidR="00AE6C08" w:rsidRDefault="00AE6C08" w:rsidP="00D75614">
      <w:pPr>
        <w:pStyle w:val="NoSpacing"/>
      </w:pPr>
      <w:r w:rsidRPr="00926493">
        <w:t>Skin</w:t>
      </w:r>
      <w:r w:rsidR="00053F17">
        <w:t xml:space="preserve"> –</w:t>
      </w:r>
      <w:r w:rsidR="00961C40">
        <w:rPr>
          <w:sz w:val="20"/>
          <w:szCs w:val="20"/>
        </w:rPr>
        <w:t xml:space="preserve"> </w:t>
      </w:r>
      <w:r w:rsidR="00961C40" w:rsidRPr="00961C40">
        <w:rPr>
          <w:szCs w:val="20"/>
        </w:rPr>
        <w:t>No special skin protection other than good personal hygiene practice is recommended under anticipated conditions of use.</w:t>
      </w:r>
    </w:p>
    <w:p w:rsidR="00E12CBD" w:rsidRDefault="00AE6C08" w:rsidP="00D75614">
      <w:pPr>
        <w:pStyle w:val="NoSpacing"/>
        <w:rPr>
          <w:szCs w:val="20"/>
        </w:rPr>
      </w:pPr>
      <w:r w:rsidRPr="00926493">
        <w:t>Eye/Face</w:t>
      </w:r>
      <w:r>
        <w:t xml:space="preserve"> –</w:t>
      </w:r>
      <w:r w:rsidR="00E12CBD" w:rsidRPr="00E12CBD">
        <w:rPr>
          <w:sz w:val="20"/>
          <w:szCs w:val="20"/>
        </w:rPr>
        <w:t xml:space="preserve"> </w:t>
      </w:r>
      <w:r w:rsidR="00E12CBD" w:rsidRPr="00E12CBD">
        <w:rPr>
          <w:szCs w:val="20"/>
        </w:rPr>
        <w:t xml:space="preserve">Safety glasses should be adequate protection under most conditions of use. Wear goggles and/or face shield if splashing or spraying is likely, especially if heated above 125 F. Have suitable eye wash water available. </w:t>
      </w:r>
    </w:p>
    <w:p w:rsidR="00E12CBD" w:rsidRDefault="00AE6C08" w:rsidP="00D75614">
      <w:pPr>
        <w:pStyle w:val="NoSpacing"/>
      </w:pPr>
      <w:r w:rsidRPr="00926493">
        <w:t xml:space="preserve">Ventilation </w:t>
      </w:r>
      <w:r>
        <w:t>–</w:t>
      </w:r>
      <w:r w:rsidR="00E12CBD">
        <w:t>No special ventilation required</w:t>
      </w:r>
    </w:p>
    <w:p w:rsidR="00AE6C08" w:rsidRDefault="00AE6C08" w:rsidP="00D75614">
      <w:pPr>
        <w:pStyle w:val="NoSpacing"/>
      </w:pPr>
      <w:r w:rsidRPr="00926493">
        <w:t>General Industrial Hygiene Considerations</w:t>
      </w:r>
      <w:r>
        <w:t xml:space="preserve"> – Handle in accordance with good industrial hygiene and safety practice.  Wash thoroughly with soap and water after handling and before eating, drinking, or using tobacco.  Safety shower and eye wash should be available close to work areas.</w:t>
      </w:r>
    </w:p>
    <w:p w:rsidR="00AE6C08" w:rsidRDefault="00AE6C08" w:rsidP="00D75614">
      <w:pPr>
        <w:pStyle w:val="NoSpacing"/>
      </w:pPr>
      <w:r w:rsidRPr="00926493">
        <w:t>Environmental Exposure Controls</w:t>
      </w:r>
      <w:r>
        <w:t xml:space="preserve"> – Follow best practice for site management and disposal of waste.</w:t>
      </w:r>
    </w:p>
    <w:p w:rsidR="00AE6C08" w:rsidRDefault="00AE6C08" w:rsidP="00D75614">
      <w:pPr>
        <w:pStyle w:val="NoSpacing"/>
      </w:pPr>
    </w:p>
    <w:p w:rsidR="00AE6C08" w:rsidRPr="00D75614" w:rsidRDefault="00AE6C08" w:rsidP="00D75614">
      <w:pPr>
        <w:pStyle w:val="NoSpacing"/>
        <w:rPr>
          <w:b/>
        </w:rPr>
      </w:pPr>
      <w:r w:rsidRPr="00D75614">
        <w:rPr>
          <w:b/>
        </w:rPr>
        <w:t>Section 9:  Physical and Chemical Properties</w:t>
      </w:r>
    </w:p>
    <w:p w:rsidR="00AE6C08" w:rsidRPr="00643338" w:rsidRDefault="00AE6C08" w:rsidP="00D75614">
      <w:pPr>
        <w:pStyle w:val="NoSpacing"/>
      </w:pPr>
      <w:r w:rsidRPr="00643338">
        <w:t>Physical Data:</w:t>
      </w:r>
    </w:p>
    <w:p w:rsidR="00AE6C08" w:rsidRDefault="00AE6C08" w:rsidP="00D75614">
      <w:pPr>
        <w:pStyle w:val="NoSpacing"/>
      </w:pPr>
      <w:r w:rsidRPr="00643338">
        <w:t>Boiling Point (</w:t>
      </w:r>
      <w:proofErr w:type="spellStart"/>
      <w:r w:rsidRPr="00643338">
        <w:t>deg</w:t>
      </w:r>
      <w:proofErr w:type="spellEnd"/>
      <w:r w:rsidRPr="00643338">
        <w:t xml:space="preserve"> F)</w:t>
      </w:r>
      <w:r w:rsidR="00E12CBD">
        <w:tab/>
      </w:r>
      <w:r w:rsidR="00E12CBD">
        <w:tab/>
        <w:t xml:space="preserve">- </w:t>
      </w:r>
      <w:r w:rsidR="004920B3">
        <w:t>No data available</w:t>
      </w:r>
    </w:p>
    <w:p w:rsidR="007A3DC5" w:rsidRDefault="007A3DC5" w:rsidP="00D75614">
      <w:pPr>
        <w:pStyle w:val="NoSpacing"/>
        <w:rPr>
          <w:szCs w:val="16"/>
        </w:rPr>
      </w:pPr>
      <w:r w:rsidRPr="007A3DC5">
        <w:t>Flash Point</w:t>
      </w:r>
      <w:r w:rsidRPr="007A3DC5">
        <w:tab/>
      </w:r>
      <w:r>
        <w:tab/>
      </w:r>
      <w:r>
        <w:tab/>
        <w:t xml:space="preserve">- </w:t>
      </w:r>
      <w:r w:rsidRPr="008D2DC0">
        <w:t xml:space="preserve">166 </w:t>
      </w:r>
      <w:r w:rsidRPr="008D2DC0">
        <w:rPr>
          <w:szCs w:val="16"/>
        </w:rPr>
        <w:t>°C (331 F)</w:t>
      </w:r>
    </w:p>
    <w:p w:rsidR="007A3DC5" w:rsidRPr="007A3DC5" w:rsidRDefault="007A3DC5" w:rsidP="00D75614">
      <w:pPr>
        <w:pStyle w:val="NoSpacing"/>
        <w:rPr>
          <w:sz w:val="16"/>
          <w:szCs w:val="16"/>
        </w:rPr>
      </w:pPr>
    </w:p>
    <w:p w:rsidR="00AE6C08" w:rsidRDefault="00AE6C08" w:rsidP="00D75614">
      <w:pPr>
        <w:pStyle w:val="NoSpacing"/>
      </w:pPr>
      <w:r w:rsidRPr="00643338">
        <w:t xml:space="preserve">Specific Gravity </w:t>
      </w:r>
      <w:r w:rsidRPr="00643338">
        <w:tab/>
      </w:r>
      <w:r>
        <w:tab/>
      </w:r>
      <w:r w:rsidR="00E12CBD">
        <w:tab/>
        <w:t xml:space="preserve">- </w:t>
      </w:r>
      <w:r w:rsidR="004920B3">
        <w:t>No data available</w:t>
      </w:r>
    </w:p>
    <w:p w:rsidR="00AE6C08" w:rsidRDefault="00AE6C08" w:rsidP="00D75614">
      <w:pPr>
        <w:pStyle w:val="NoSpacing"/>
      </w:pPr>
      <w:r w:rsidRPr="00643338">
        <w:t>Volatile by Volume (%)</w:t>
      </w:r>
      <w:r w:rsidR="00E12CBD">
        <w:tab/>
        <w:t xml:space="preserve">- </w:t>
      </w:r>
      <w:r w:rsidR="00FD60D9">
        <w:t>No data available</w:t>
      </w:r>
    </w:p>
    <w:p w:rsidR="00AE6C08" w:rsidRDefault="00F474B5" w:rsidP="00D75614">
      <w:pPr>
        <w:pStyle w:val="NoSpacing"/>
        <w:rPr>
          <w:szCs w:val="16"/>
        </w:rPr>
      </w:pPr>
      <w:r>
        <w:t xml:space="preserve">Relative </w:t>
      </w:r>
      <w:r w:rsidR="00933E78">
        <w:t>Vapor Density at 20</w:t>
      </w:r>
      <w:r w:rsidR="007A3DC5">
        <w:t xml:space="preserve"> </w:t>
      </w:r>
      <w:r w:rsidR="007A3DC5" w:rsidRPr="007A3DC5">
        <w:rPr>
          <w:szCs w:val="16"/>
        </w:rPr>
        <w:t>°C</w:t>
      </w:r>
      <w:r w:rsidR="007A3DC5">
        <w:rPr>
          <w:szCs w:val="16"/>
        </w:rPr>
        <w:t xml:space="preserve"> - &gt; 1</w:t>
      </w:r>
    </w:p>
    <w:p w:rsidR="007A3DC5" w:rsidRPr="007A3DC5" w:rsidRDefault="007A3DC5" w:rsidP="00D75614">
      <w:pPr>
        <w:pStyle w:val="NoSpacing"/>
        <w:rPr>
          <w:sz w:val="16"/>
          <w:szCs w:val="16"/>
        </w:rPr>
      </w:pPr>
    </w:p>
    <w:p w:rsidR="00AE6C08" w:rsidRDefault="00AE6C08" w:rsidP="00D75614">
      <w:pPr>
        <w:pStyle w:val="NoSpacing"/>
      </w:pPr>
      <w:r w:rsidRPr="00643338">
        <w:t>Evaporation Rate (EE=1)</w:t>
      </w:r>
      <w:r w:rsidR="00E12CBD">
        <w:tab/>
        <w:t xml:space="preserve">- </w:t>
      </w:r>
      <w:r w:rsidR="007A3DC5">
        <w:t>No data available</w:t>
      </w:r>
    </w:p>
    <w:p w:rsidR="00AE6C08" w:rsidRDefault="00AE6C08" w:rsidP="00D75614">
      <w:pPr>
        <w:pStyle w:val="NoSpacing"/>
      </w:pPr>
      <w:r w:rsidRPr="00643338">
        <w:t>Solubility</w:t>
      </w:r>
      <w:r w:rsidRPr="00643338">
        <w:tab/>
      </w:r>
      <w:r w:rsidR="00E12CBD">
        <w:tab/>
      </w:r>
      <w:r w:rsidR="00E12CBD">
        <w:tab/>
      </w:r>
      <w:r w:rsidR="00E12CBD">
        <w:tab/>
        <w:t xml:space="preserve">- </w:t>
      </w:r>
      <w:r w:rsidR="007A3DC5">
        <w:t>No data available</w:t>
      </w:r>
    </w:p>
    <w:p w:rsidR="00AE6C08" w:rsidRDefault="00AE6C08" w:rsidP="00D75614">
      <w:pPr>
        <w:pStyle w:val="NoSpacing"/>
      </w:pPr>
      <w:r w:rsidRPr="00643338">
        <w:t>Appearance and Order</w:t>
      </w:r>
      <w:r w:rsidR="00E12CBD">
        <w:tab/>
        <w:t xml:space="preserve">- </w:t>
      </w:r>
      <w:r w:rsidR="00A16773">
        <w:t>liquid, clear, odorless</w:t>
      </w:r>
    </w:p>
    <w:p w:rsidR="00AE6C08" w:rsidRDefault="00AE6C08" w:rsidP="00D75614">
      <w:pPr>
        <w:pStyle w:val="NoSpacing"/>
      </w:pPr>
      <w:r w:rsidRPr="00643338">
        <w:t>Melting Point (</w:t>
      </w:r>
      <w:proofErr w:type="spellStart"/>
      <w:r w:rsidRPr="00643338">
        <w:t>deg</w:t>
      </w:r>
      <w:proofErr w:type="spellEnd"/>
      <w:r w:rsidRPr="00643338">
        <w:t xml:space="preserve"> F)</w:t>
      </w:r>
      <w:r w:rsidRPr="00643338">
        <w:tab/>
      </w:r>
      <w:r>
        <w:tab/>
        <w:t xml:space="preserve">- </w:t>
      </w:r>
      <w:r w:rsidR="005D0FC6">
        <w:t>N/A</w:t>
      </w:r>
    </w:p>
    <w:p w:rsidR="00AE6C08" w:rsidRDefault="00AE6C08" w:rsidP="00D75614">
      <w:pPr>
        <w:pStyle w:val="NoSpacing"/>
      </w:pPr>
      <w:r w:rsidRPr="00643338">
        <w:t>Vapor Pressure</w:t>
      </w:r>
      <w:r w:rsidRPr="00643338">
        <w:tab/>
      </w:r>
      <w:r w:rsidR="00E12CBD">
        <w:tab/>
      </w:r>
      <w:r w:rsidR="00E12CBD">
        <w:tab/>
        <w:t xml:space="preserve">- </w:t>
      </w:r>
      <w:r w:rsidR="005D0FC6">
        <w:t>&lt; 0.1 mm Hg</w:t>
      </w:r>
    </w:p>
    <w:p w:rsidR="00AE6C08" w:rsidRDefault="00AE6C08" w:rsidP="00D75614">
      <w:pPr>
        <w:pStyle w:val="NoSpacing"/>
      </w:pPr>
      <w:r w:rsidRPr="00643338">
        <w:t>Molecular Weight</w:t>
      </w:r>
      <w:r w:rsidR="00E12CBD">
        <w:tab/>
      </w:r>
      <w:r w:rsidR="00E12CBD">
        <w:tab/>
        <w:t xml:space="preserve">- </w:t>
      </w:r>
      <w:r w:rsidR="00072B49">
        <w:t>No data available</w:t>
      </w:r>
    </w:p>
    <w:p w:rsidR="00D75614" w:rsidRDefault="00D75614" w:rsidP="00D75614">
      <w:pPr>
        <w:pStyle w:val="NoSpacing"/>
      </w:pPr>
    </w:p>
    <w:p w:rsidR="00AE6C08" w:rsidRPr="00D75614" w:rsidRDefault="00AE6C08" w:rsidP="00D75614">
      <w:pPr>
        <w:pStyle w:val="NoSpacing"/>
        <w:rPr>
          <w:b/>
        </w:rPr>
      </w:pPr>
      <w:r w:rsidRPr="00D75614">
        <w:rPr>
          <w:b/>
        </w:rPr>
        <w:t>Section 10:  Stability and Reactivity</w:t>
      </w:r>
    </w:p>
    <w:p w:rsidR="00072B49" w:rsidRDefault="00AE6C08" w:rsidP="00D75614">
      <w:pPr>
        <w:pStyle w:val="NoSpacing"/>
      </w:pPr>
      <w:r w:rsidRPr="00643338">
        <w:t>Reactivity</w:t>
      </w:r>
      <w:r w:rsidR="00072B49">
        <w:t xml:space="preserve">- </w:t>
      </w:r>
      <w:r w:rsidR="00072B49" w:rsidRPr="00072B49">
        <w:rPr>
          <w:rFonts w:cs="Arial"/>
          <w:color w:val="000000"/>
          <w:szCs w:val="16"/>
        </w:rPr>
        <w:t>The product is non-reactive under normal conditions of use, storage and transport.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826"/>
      </w:tblGrid>
      <w:tr w:rsidR="00072B49" w:rsidRPr="00072B49" w:rsidTr="00072B49">
        <w:trPr>
          <w:trHeight w:val="108"/>
        </w:trPr>
        <w:tc>
          <w:tcPr>
            <w:tcW w:w="5826" w:type="dxa"/>
          </w:tcPr>
          <w:p w:rsidR="00072B49" w:rsidRPr="00072B49" w:rsidRDefault="00072B49" w:rsidP="00D75614">
            <w:pPr>
              <w:pStyle w:val="NoSpacing"/>
              <w:rPr>
                <w:rFonts w:cs="Arial"/>
                <w:color w:val="000000"/>
                <w:sz w:val="16"/>
                <w:szCs w:val="16"/>
              </w:rPr>
            </w:pPr>
          </w:p>
        </w:tc>
      </w:tr>
    </w:tbl>
    <w:p w:rsidR="00AE6C08" w:rsidRDefault="00AE6C08" w:rsidP="00D75614">
      <w:pPr>
        <w:pStyle w:val="NoSpacing"/>
      </w:pPr>
      <w:r w:rsidRPr="00C65CCB">
        <w:t>Chemical stability</w:t>
      </w:r>
      <w:r w:rsidR="00072B49">
        <w:t>- S</w:t>
      </w:r>
      <w:r>
        <w:t>table</w:t>
      </w:r>
      <w:r w:rsidR="00072B49">
        <w:t xml:space="preserve"> under normal conditions</w:t>
      </w:r>
    </w:p>
    <w:p w:rsidR="00AE6C08" w:rsidRDefault="00AE6C08" w:rsidP="00D75614">
      <w:pPr>
        <w:pStyle w:val="NoSpacing"/>
      </w:pPr>
      <w:r w:rsidRPr="00C65CCB">
        <w:t>Possibility of hazardous reactions</w:t>
      </w:r>
      <w:r>
        <w:t xml:space="preserve"> – </w:t>
      </w:r>
      <w:r w:rsidR="00D87E9A">
        <w:t>No dangerous reactions known under normal conditions of use</w:t>
      </w:r>
    </w:p>
    <w:p w:rsidR="00AE6C08" w:rsidRDefault="00AE6C08" w:rsidP="00D75614">
      <w:pPr>
        <w:pStyle w:val="NoSpacing"/>
      </w:pPr>
      <w:r w:rsidRPr="00C65CCB">
        <w:t>Conditions to avoid</w:t>
      </w:r>
      <w:r w:rsidR="00D87E9A">
        <w:t>- None under recommended storage and handling conditions</w:t>
      </w:r>
    </w:p>
    <w:p w:rsidR="00AE6C08" w:rsidRDefault="00AE6C08" w:rsidP="00D75614">
      <w:pPr>
        <w:pStyle w:val="NoSpacing"/>
      </w:pPr>
      <w:r w:rsidRPr="0065126D">
        <w:lastRenderedPageBreak/>
        <w:t>Incompatible materials</w:t>
      </w:r>
      <w:r>
        <w:tab/>
        <w:t xml:space="preserve">- </w:t>
      </w:r>
      <w:r w:rsidR="00D87E9A">
        <w:t>Strong oxidizing agents</w:t>
      </w:r>
    </w:p>
    <w:p w:rsidR="00D87E9A" w:rsidRDefault="00AE6C08" w:rsidP="00D75614">
      <w:pPr>
        <w:pStyle w:val="NoSpacing"/>
      </w:pPr>
      <w:r w:rsidRPr="0065126D">
        <w:t>Hazardous decomposition products</w:t>
      </w:r>
      <w:r w:rsidR="00D87E9A">
        <w:t xml:space="preserve"> – </w:t>
      </w:r>
      <w:r w:rsidR="00D87E9A" w:rsidRPr="00D87E9A">
        <w:rPr>
          <w:rFonts w:cs="Arial"/>
          <w:color w:val="000000"/>
          <w:szCs w:val="16"/>
        </w:rPr>
        <w:t>Under normal conditions of storage and use, hazardous decomposition products should not be produced. On combustion, forms: carbon oxides (CO and CO2).</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683"/>
      </w:tblGrid>
      <w:tr w:rsidR="00D87E9A" w:rsidRPr="00D87E9A" w:rsidTr="00585800">
        <w:trPr>
          <w:trHeight w:val="168"/>
        </w:trPr>
        <w:tc>
          <w:tcPr>
            <w:tcW w:w="6683" w:type="dxa"/>
          </w:tcPr>
          <w:p w:rsidR="00D87E9A" w:rsidRPr="00D87E9A" w:rsidRDefault="00D87E9A" w:rsidP="00D75614">
            <w:pPr>
              <w:pStyle w:val="NoSpacing"/>
              <w:rPr>
                <w:rFonts w:cs="Arial"/>
                <w:color w:val="000000"/>
                <w:szCs w:val="16"/>
              </w:rPr>
            </w:pPr>
          </w:p>
        </w:tc>
      </w:tr>
    </w:tbl>
    <w:p w:rsidR="00AE6C08" w:rsidRPr="00D75614" w:rsidRDefault="00AE6C08" w:rsidP="00D75614">
      <w:pPr>
        <w:pStyle w:val="NoSpacing"/>
        <w:rPr>
          <w:b/>
        </w:rPr>
      </w:pPr>
      <w:r w:rsidRPr="00D75614">
        <w:rPr>
          <w:b/>
        </w:rPr>
        <w:t>Section 11:  Toxicological Information</w:t>
      </w:r>
    </w:p>
    <w:p w:rsidR="00AE6C08" w:rsidRDefault="00AE6C08" w:rsidP="00D75614">
      <w:pPr>
        <w:pStyle w:val="NoSpacing"/>
      </w:pPr>
      <w:r>
        <w:t>Nontoxic</w:t>
      </w:r>
    </w:p>
    <w:p w:rsidR="00AE6C08" w:rsidRDefault="00AE6C08" w:rsidP="00D75614">
      <w:pPr>
        <w:pStyle w:val="NoSpacing"/>
      </w:pPr>
    </w:p>
    <w:p w:rsidR="00AE6C08" w:rsidRPr="00D75614" w:rsidRDefault="00AE6C08" w:rsidP="00D75614">
      <w:pPr>
        <w:pStyle w:val="NoSpacing"/>
        <w:rPr>
          <w:b/>
        </w:rPr>
      </w:pPr>
      <w:r w:rsidRPr="00D75614">
        <w:rPr>
          <w:b/>
        </w:rPr>
        <w:t>Section 12:  Ecological Information</w:t>
      </w:r>
    </w:p>
    <w:p w:rsidR="00D87E9A" w:rsidRPr="00F27FC8" w:rsidRDefault="00D87E9A" w:rsidP="00D75614">
      <w:pPr>
        <w:pStyle w:val="NoSpacing"/>
      </w:pPr>
      <w:r w:rsidRPr="00D87E9A">
        <w:rPr>
          <w:rFonts w:cs="Arial"/>
          <w:color w:val="000000"/>
          <w:szCs w:val="16"/>
        </w:rPr>
        <w:t>The product is not considered harmful to aquatic organisms nor to cause long-term adverse effects in the environment.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468"/>
      </w:tblGrid>
      <w:tr w:rsidR="00D87E9A" w:rsidRPr="00D87E9A" w:rsidTr="00D87E9A">
        <w:trPr>
          <w:trHeight w:val="198"/>
        </w:trPr>
        <w:tc>
          <w:tcPr>
            <w:tcW w:w="6468" w:type="dxa"/>
          </w:tcPr>
          <w:p w:rsidR="00D87E9A" w:rsidRPr="00D87E9A" w:rsidRDefault="00D87E9A" w:rsidP="00D75614">
            <w:pPr>
              <w:pStyle w:val="NoSpacing"/>
              <w:rPr>
                <w:rFonts w:cs="Arial"/>
                <w:color w:val="000000"/>
                <w:szCs w:val="32"/>
              </w:rPr>
            </w:pPr>
          </w:p>
        </w:tc>
      </w:tr>
    </w:tbl>
    <w:p w:rsidR="00AE6C08" w:rsidRDefault="00AE6C08" w:rsidP="00D75614">
      <w:pPr>
        <w:pStyle w:val="NoSpacing"/>
      </w:pPr>
    </w:p>
    <w:p w:rsidR="00AE6C08" w:rsidRPr="00D75614" w:rsidRDefault="00AE6C08" w:rsidP="00D75614">
      <w:pPr>
        <w:pStyle w:val="NoSpacing"/>
        <w:rPr>
          <w:b/>
        </w:rPr>
      </w:pPr>
      <w:r w:rsidRPr="00D75614">
        <w:rPr>
          <w:b/>
        </w:rPr>
        <w:t>Section 13:  Disposal Considerations</w:t>
      </w:r>
    </w:p>
    <w:p w:rsidR="00AE6C08" w:rsidRDefault="00AE6C08" w:rsidP="00D75614">
      <w:pPr>
        <w:pStyle w:val="NoSpacing"/>
      </w:pPr>
      <w:r w:rsidRPr="00F27FC8">
        <w:t>Product waste</w:t>
      </w:r>
      <w:r w:rsidRPr="00F27FC8">
        <w:tab/>
      </w:r>
      <w:r>
        <w:t>- dispose of content and/or container in accordance with local, regional, national, and/or international regulations</w:t>
      </w:r>
    </w:p>
    <w:p w:rsidR="00AE6C08" w:rsidRDefault="00B67745" w:rsidP="00D75614">
      <w:pPr>
        <w:pStyle w:val="NoSpacing"/>
      </w:pPr>
      <w:r>
        <w:t>Packaging waste</w:t>
      </w:r>
      <w:r w:rsidR="00AE6C08">
        <w:t>- dispose of content and/or container in accordance with local, regional, national, and/or international regulations</w:t>
      </w:r>
    </w:p>
    <w:p w:rsidR="00AE6C08" w:rsidRDefault="00AE6C08" w:rsidP="00D75614">
      <w:pPr>
        <w:pStyle w:val="NoSpacing"/>
      </w:pPr>
    </w:p>
    <w:p w:rsidR="00AE6C08" w:rsidRPr="00D75614" w:rsidRDefault="00AE6C08" w:rsidP="00D75614">
      <w:pPr>
        <w:pStyle w:val="NoSpacing"/>
        <w:rPr>
          <w:b/>
        </w:rPr>
      </w:pPr>
      <w:r w:rsidRPr="00D75614">
        <w:rPr>
          <w:b/>
        </w:rPr>
        <w:t>Section 14:  Transport Information</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This section provides guidance on classification information for shipping and transporting of hazardous chemical(s) by road, air, rail, or sea. The information may include:</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UN number (i.e., four-figure identification number of the substance</w:t>
      </w:r>
      <w:proofErr w:type="gramStart"/>
      <w:r w:rsidRPr="00A16773">
        <w:rPr>
          <w:rFonts w:eastAsia="Times New Roman" w:cs="Times New Roman"/>
          <w:color w:val="000000"/>
          <w:szCs w:val="21"/>
        </w:rPr>
        <w:t>)</w:t>
      </w:r>
      <w:proofErr w:type="gramEnd"/>
      <w:r w:rsidRPr="00A16773">
        <w:rPr>
          <w:rFonts w:eastAsia="Times New Roman" w:cs="Times New Roman"/>
          <w:color w:val="000000"/>
          <w:sz w:val="24"/>
          <w:szCs w:val="16"/>
          <w:vertAlign w:val="superscript"/>
        </w:rPr>
        <w:fldChar w:fldCharType="begin"/>
      </w:r>
      <w:r w:rsidRPr="00A16773">
        <w:rPr>
          <w:rFonts w:eastAsia="Times New Roman" w:cs="Times New Roman"/>
          <w:color w:val="000000"/>
          <w:sz w:val="24"/>
          <w:szCs w:val="16"/>
          <w:vertAlign w:val="superscript"/>
        </w:rPr>
        <w:instrText xml:space="preserve"> HYPERLINK "https://www.osha.gov/Publications/OSHA3514.html" \l "footnote1" \o "Footnote 1" </w:instrText>
      </w:r>
      <w:r w:rsidRPr="00A16773">
        <w:rPr>
          <w:rFonts w:eastAsia="Times New Roman" w:cs="Times New Roman"/>
          <w:color w:val="000000"/>
          <w:sz w:val="24"/>
          <w:szCs w:val="16"/>
          <w:vertAlign w:val="superscript"/>
        </w:rPr>
        <w:fldChar w:fldCharType="separate"/>
      </w:r>
      <w:r w:rsidRPr="00A16773">
        <w:rPr>
          <w:rFonts w:eastAsia="Times New Roman" w:cs="Times New Roman"/>
          <w:color w:val="003399"/>
          <w:sz w:val="24"/>
          <w:szCs w:val="16"/>
          <w:vertAlign w:val="superscript"/>
        </w:rPr>
        <w:t>1</w:t>
      </w:r>
      <w:r w:rsidRPr="00A16773">
        <w:rPr>
          <w:rFonts w:eastAsia="Times New Roman" w:cs="Times New Roman"/>
          <w:color w:val="000000"/>
          <w:sz w:val="24"/>
          <w:szCs w:val="16"/>
          <w:vertAlign w:val="superscript"/>
        </w:rPr>
        <w:fldChar w:fldCharType="end"/>
      </w:r>
      <w:r w:rsidRPr="00A16773">
        <w:rPr>
          <w:rFonts w:eastAsia="Times New Roman" w:cs="Times New Roman"/>
          <w:color w:val="000000"/>
          <w:szCs w:val="21"/>
        </w:rPr>
        <w:t>.</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UN proper shipping name</w:t>
      </w:r>
      <w:hyperlink r:id="rId5" w:anchor="footnote1" w:tooltip="Footnote 1" w:history="1">
        <w:r w:rsidRPr="00A16773">
          <w:rPr>
            <w:rFonts w:eastAsia="Times New Roman" w:cs="Times New Roman"/>
            <w:color w:val="003399"/>
            <w:sz w:val="24"/>
            <w:szCs w:val="16"/>
            <w:vertAlign w:val="superscript"/>
          </w:rPr>
          <w:t>1</w:t>
        </w:r>
      </w:hyperlink>
      <w:r w:rsidRPr="00A16773">
        <w:rPr>
          <w:rFonts w:eastAsia="Times New Roman" w:cs="Times New Roman"/>
          <w:color w:val="000000"/>
          <w:szCs w:val="21"/>
        </w:rPr>
        <w:t>.</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 xml:space="preserve">Transport hazard </w:t>
      </w:r>
      <w:proofErr w:type="gramStart"/>
      <w:r w:rsidRPr="00A16773">
        <w:rPr>
          <w:rFonts w:eastAsia="Times New Roman" w:cs="Times New Roman"/>
          <w:color w:val="000000"/>
          <w:szCs w:val="21"/>
        </w:rPr>
        <w:t>class(</w:t>
      </w:r>
      <w:proofErr w:type="spellStart"/>
      <w:proofErr w:type="gramEnd"/>
      <w:r w:rsidRPr="00A16773">
        <w:rPr>
          <w:rFonts w:eastAsia="Times New Roman" w:cs="Times New Roman"/>
          <w:color w:val="000000"/>
          <w:szCs w:val="21"/>
        </w:rPr>
        <w:t>es</w:t>
      </w:r>
      <w:proofErr w:type="spellEnd"/>
      <w:r w:rsidRPr="00A16773">
        <w:rPr>
          <w:rFonts w:eastAsia="Times New Roman" w:cs="Times New Roman"/>
          <w:color w:val="000000"/>
          <w:szCs w:val="21"/>
        </w:rPr>
        <w:t>)</w:t>
      </w:r>
      <w:hyperlink r:id="rId6" w:anchor="footnote1" w:tooltip="Footnote 1" w:history="1">
        <w:r w:rsidRPr="00A16773">
          <w:rPr>
            <w:rFonts w:eastAsia="Times New Roman" w:cs="Times New Roman"/>
            <w:color w:val="003399"/>
            <w:sz w:val="24"/>
            <w:szCs w:val="16"/>
            <w:vertAlign w:val="superscript"/>
          </w:rPr>
          <w:t>1</w:t>
        </w:r>
      </w:hyperlink>
      <w:r w:rsidRPr="00A16773">
        <w:rPr>
          <w:rFonts w:eastAsia="Times New Roman" w:cs="Times New Roman"/>
          <w:color w:val="000000"/>
          <w:szCs w:val="21"/>
        </w:rPr>
        <w:t>.</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Packing group number, if applicable, based on the degree of hazard</w:t>
      </w:r>
      <w:hyperlink r:id="rId7" w:tooltip="Footnote 2" w:history="1">
        <w:r w:rsidRPr="00A16773">
          <w:rPr>
            <w:rFonts w:eastAsia="Times New Roman" w:cs="Times New Roman"/>
            <w:color w:val="003399"/>
            <w:sz w:val="24"/>
            <w:szCs w:val="16"/>
            <w:vertAlign w:val="superscript"/>
          </w:rPr>
          <w:t>2</w:t>
        </w:r>
      </w:hyperlink>
      <w:r w:rsidRPr="00A16773">
        <w:rPr>
          <w:rFonts w:eastAsia="Times New Roman" w:cs="Times New Roman"/>
          <w:color w:val="000000"/>
          <w:szCs w:val="21"/>
        </w:rPr>
        <w:t>.</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Environmental hazards (e.g., identify if it is a marine pollutant according to the International Maritime Dangerous Goods Code (IMDG Code)).</w:t>
      </w:r>
    </w:p>
    <w:p w:rsidR="00A16773" w:rsidRPr="00A16773" w:rsidRDefault="00A16773" w:rsidP="00D75614">
      <w:pPr>
        <w:pStyle w:val="NoSpacing"/>
        <w:rPr>
          <w:rFonts w:eastAsia="Times New Roman" w:cs="Times New Roman"/>
          <w:color w:val="000000"/>
          <w:szCs w:val="21"/>
        </w:rPr>
      </w:pPr>
      <w:r w:rsidRPr="00A16773">
        <w:rPr>
          <w:rFonts w:eastAsia="Times New Roman" w:cs="Times New Roman"/>
          <w:color w:val="000000"/>
          <w:szCs w:val="21"/>
        </w:rPr>
        <w:t>Guidance on transport in bulk (according to Annex II of MARPOL 73/78</w:t>
      </w:r>
      <w:hyperlink r:id="rId8" w:tooltip="Footnote 3" w:history="1">
        <w:r w:rsidRPr="00A16773">
          <w:rPr>
            <w:rFonts w:eastAsia="Times New Roman" w:cs="Times New Roman"/>
            <w:color w:val="003399"/>
            <w:sz w:val="24"/>
            <w:szCs w:val="16"/>
            <w:vertAlign w:val="superscript"/>
          </w:rPr>
          <w:t>3</w:t>
        </w:r>
      </w:hyperlink>
      <w:r w:rsidRPr="00A16773">
        <w:rPr>
          <w:rFonts w:eastAsia="Times New Roman" w:cs="Times New Roman"/>
          <w:color w:val="000000"/>
          <w:szCs w:val="21"/>
        </w:rPr>
        <w:t xml:space="preserve"> and the International Code for the Construction and Equipment of Ships Carrying Dangerous Chemicals in Bulk (International Bulk Chemical Code (IBC Code)).</w:t>
      </w:r>
    </w:p>
    <w:p w:rsidR="00D75614" w:rsidRDefault="00A16773" w:rsidP="00D75614">
      <w:pPr>
        <w:pStyle w:val="NoSpacing"/>
        <w:rPr>
          <w:rFonts w:eastAsia="Times New Roman" w:cs="Times New Roman"/>
          <w:color w:val="000000"/>
          <w:szCs w:val="21"/>
        </w:rPr>
      </w:pPr>
      <w:r w:rsidRPr="00A16773">
        <w:rPr>
          <w:rFonts w:eastAsia="Times New Roman" w:cs="Times New Roman"/>
          <w:color w:val="000000"/>
          <w:szCs w:val="21"/>
        </w:rPr>
        <w:t>Any special precautions which an employee should be aware of or needs to comply with, in connection with transport or conveyance either within or outside their premises (indicate when information is not available).</w:t>
      </w:r>
    </w:p>
    <w:p w:rsidR="00D75614" w:rsidRDefault="00D75614" w:rsidP="00D75614">
      <w:pPr>
        <w:pStyle w:val="NoSpacing"/>
        <w:rPr>
          <w:rFonts w:eastAsia="Times New Roman" w:cs="Times New Roman"/>
          <w:color w:val="000000"/>
          <w:szCs w:val="21"/>
        </w:rPr>
      </w:pPr>
    </w:p>
    <w:p w:rsidR="00D75614" w:rsidRDefault="00D75614" w:rsidP="00D75614">
      <w:pPr>
        <w:pStyle w:val="NoSpacing"/>
        <w:rPr>
          <w:b/>
        </w:rPr>
      </w:pPr>
      <w:r w:rsidRPr="00D75614">
        <w:rPr>
          <w:b/>
        </w:rPr>
        <w:t xml:space="preserve">Section 15 non mandatory </w:t>
      </w:r>
    </w:p>
    <w:p w:rsidR="00D75614" w:rsidRPr="00D75614" w:rsidRDefault="00D75614" w:rsidP="00D75614">
      <w:pPr>
        <w:pStyle w:val="NoSpacing"/>
        <w:rPr>
          <w:b/>
        </w:rPr>
      </w:pPr>
    </w:p>
    <w:p w:rsidR="00D75614" w:rsidRPr="00D75614" w:rsidRDefault="00D75614" w:rsidP="00D75614">
      <w:pPr>
        <w:pStyle w:val="NoSpacing"/>
        <w:rPr>
          <w:b/>
          <w:szCs w:val="32"/>
        </w:rPr>
      </w:pPr>
      <w:r w:rsidRPr="00D75614">
        <w:rPr>
          <w:b/>
          <w:szCs w:val="32"/>
        </w:rPr>
        <w:t>Section 16 Other information</w:t>
      </w:r>
    </w:p>
    <w:p w:rsidR="00D75614" w:rsidRPr="001926FC" w:rsidRDefault="00D75614" w:rsidP="00D75614">
      <w:pPr>
        <w:pStyle w:val="NoSpacing"/>
      </w:pPr>
      <w:r>
        <w:t>Revised 3/30/2017</w:t>
      </w:r>
    </w:p>
    <w:p w:rsidR="00D75614" w:rsidRPr="00A16773" w:rsidRDefault="00D75614" w:rsidP="00D75614">
      <w:pPr>
        <w:pStyle w:val="NoSpacing"/>
        <w:rPr>
          <w:rFonts w:eastAsia="Times New Roman" w:cs="Times New Roman"/>
          <w:color w:val="000000"/>
          <w:szCs w:val="21"/>
        </w:rPr>
      </w:pPr>
    </w:p>
    <w:p w:rsidR="00E57669" w:rsidRDefault="00E57669" w:rsidP="00D75614">
      <w:pPr>
        <w:pStyle w:val="NoSpacing"/>
      </w:pPr>
    </w:p>
    <w:sectPr w:rsidR="00E57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C6A4B"/>
    <w:multiLevelType w:val="multilevel"/>
    <w:tmpl w:val="3C8E9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08"/>
    <w:rsid w:val="00053F17"/>
    <w:rsid w:val="00072B49"/>
    <w:rsid w:val="00134946"/>
    <w:rsid w:val="00191815"/>
    <w:rsid w:val="00255465"/>
    <w:rsid w:val="003848C5"/>
    <w:rsid w:val="003A4FC2"/>
    <w:rsid w:val="004869D4"/>
    <w:rsid w:val="004920B3"/>
    <w:rsid w:val="005175AC"/>
    <w:rsid w:val="005864D7"/>
    <w:rsid w:val="005D0FC6"/>
    <w:rsid w:val="00715F27"/>
    <w:rsid w:val="007A3DC5"/>
    <w:rsid w:val="008B0B2E"/>
    <w:rsid w:val="008D2DC0"/>
    <w:rsid w:val="00933E78"/>
    <w:rsid w:val="00961C40"/>
    <w:rsid w:val="00A16773"/>
    <w:rsid w:val="00A81D01"/>
    <w:rsid w:val="00AE6C08"/>
    <w:rsid w:val="00B67745"/>
    <w:rsid w:val="00CA0E67"/>
    <w:rsid w:val="00D356EA"/>
    <w:rsid w:val="00D75614"/>
    <w:rsid w:val="00D87E9A"/>
    <w:rsid w:val="00E12CBD"/>
    <w:rsid w:val="00E4519B"/>
    <w:rsid w:val="00E46C94"/>
    <w:rsid w:val="00E57669"/>
    <w:rsid w:val="00EC29E4"/>
    <w:rsid w:val="00F23438"/>
    <w:rsid w:val="00F474B5"/>
    <w:rsid w:val="00FD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DA1D6-FF63-4918-8ED2-E969E04E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6C9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81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D01"/>
    <w:rPr>
      <w:rFonts w:ascii="Segoe UI" w:hAnsi="Segoe UI" w:cs="Segoe UI"/>
      <w:sz w:val="18"/>
      <w:szCs w:val="18"/>
    </w:rPr>
  </w:style>
  <w:style w:type="paragraph" w:styleId="ListParagraph">
    <w:name w:val="List Paragraph"/>
    <w:basedOn w:val="Normal"/>
    <w:uiPriority w:val="34"/>
    <w:qFormat/>
    <w:rsid w:val="00D75614"/>
    <w:pPr>
      <w:ind w:left="720"/>
      <w:contextualSpacing/>
    </w:pPr>
  </w:style>
  <w:style w:type="paragraph" w:styleId="NoSpacing">
    <w:name w:val="No Spacing"/>
    <w:uiPriority w:val="1"/>
    <w:qFormat/>
    <w:rsid w:val="00D756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58325">
      <w:bodyDiv w:val="1"/>
      <w:marLeft w:val="0"/>
      <w:marRight w:val="0"/>
      <w:marTop w:val="0"/>
      <w:marBottom w:val="0"/>
      <w:divBdr>
        <w:top w:val="none" w:sz="0" w:space="0" w:color="auto"/>
        <w:left w:val="none" w:sz="0" w:space="0" w:color="auto"/>
        <w:bottom w:val="none" w:sz="0" w:space="0" w:color="auto"/>
        <w:right w:val="none" w:sz="0" w:space="0" w:color="auto"/>
      </w:divBdr>
      <w:divsChild>
        <w:div w:id="1428622734">
          <w:marLeft w:val="0"/>
          <w:marRight w:val="0"/>
          <w:marTop w:val="0"/>
          <w:marBottom w:val="0"/>
          <w:divBdr>
            <w:top w:val="single" w:sz="2" w:space="0" w:color="FFFFFF"/>
            <w:left w:val="single" w:sz="2" w:space="0" w:color="FFFFFF"/>
            <w:bottom w:val="single" w:sz="2" w:space="0" w:color="FFFFFF"/>
            <w:right w:val="single" w:sz="2" w:space="0" w:color="FFFFFF"/>
          </w:divBdr>
          <w:divsChild>
            <w:div w:id="1189635575">
              <w:marLeft w:val="0"/>
              <w:marRight w:val="0"/>
              <w:marTop w:val="0"/>
              <w:marBottom w:val="0"/>
              <w:divBdr>
                <w:top w:val="none" w:sz="0" w:space="0" w:color="auto"/>
                <w:left w:val="none" w:sz="0" w:space="0" w:color="auto"/>
                <w:bottom w:val="none" w:sz="0" w:space="0" w:color="auto"/>
                <w:right w:val="none" w:sz="0" w:space="0" w:color="auto"/>
              </w:divBdr>
              <w:divsChild>
                <w:div w:id="1186165286">
                  <w:marLeft w:val="0"/>
                  <w:marRight w:val="0"/>
                  <w:marTop w:val="0"/>
                  <w:marBottom w:val="150"/>
                  <w:divBdr>
                    <w:top w:val="none" w:sz="0" w:space="0" w:color="auto"/>
                    <w:left w:val="none" w:sz="0" w:space="0" w:color="auto"/>
                    <w:bottom w:val="none" w:sz="0" w:space="0" w:color="auto"/>
                    <w:right w:val="none" w:sz="0" w:space="0" w:color="auto"/>
                  </w:divBdr>
                  <w:divsChild>
                    <w:div w:id="1897203718">
                      <w:marLeft w:val="0"/>
                      <w:marRight w:val="0"/>
                      <w:marTop w:val="0"/>
                      <w:marBottom w:val="0"/>
                      <w:divBdr>
                        <w:top w:val="none" w:sz="0" w:space="0" w:color="auto"/>
                        <w:left w:val="none" w:sz="0" w:space="0" w:color="auto"/>
                        <w:bottom w:val="none" w:sz="0" w:space="0" w:color="auto"/>
                        <w:right w:val="none" w:sz="0" w:space="0" w:color="auto"/>
                      </w:divBdr>
                      <w:divsChild>
                        <w:div w:id="27822417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7428993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Publications/3" TargetMode="External"/><Relationship Id="rId3" Type="http://schemas.openxmlformats.org/officeDocument/2006/relationships/settings" Target="settings.xml"/><Relationship Id="rId7" Type="http://schemas.openxmlformats.org/officeDocument/2006/relationships/hyperlink" Target="https://www.osha.gov/Publication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ha.gov/Publications/OSHA3514.html" TargetMode="External"/><Relationship Id="rId5" Type="http://schemas.openxmlformats.org/officeDocument/2006/relationships/hyperlink" Target="https://www.osha.gov/Publications/OSHA351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Stewart</dc:creator>
  <cp:keywords/>
  <dc:description/>
  <cp:lastModifiedBy>Jill Chapman</cp:lastModifiedBy>
  <cp:revision>3</cp:revision>
  <cp:lastPrinted>2017-04-27T18:40:00Z</cp:lastPrinted>
  <dcterms:created xsi:type="dcterms:W3CDTF">2017-04-27T19:15:00Z</dcterms:created>
  <dcterms:modified xsi:type="dcterms:W3CDTF">2017-04-27T19:19:00Z</dcterms:modified>
</cp:coreProperties>
</file>